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ÖlSG — Behördliche Zuständigkeiten; Gebühren und Auslagen</w:t>
      </w:r>
    </w:p>
    <w:p>
      <w:r>
        <w:rPr>
          <w:color w:val="555555"/>
          <w:sz w:val="18"/>
        </w:rPr>
        <w:t xml:space="preserve">Ölschadengesetz</w:t>
      </w:r>
    </w:p>
    <w:p>
      <w:r>
        <w:rPr>
          <w:color w:val="555555"/>
          <w:sz w:val="18"/>
        </w:rPr>
        <w:t xml:space="preserve">Stand: 29.09.2021 (konsolidierte Textfassung, kein amtliches Inkrafttretensdatum)</w:t>
      </w:r>
    </w:p>
    <w:p>
      <w:r>
        <w:t xml:space="preserve">(1) § 2 Absatz 2 und 3 und die nach § 2 Absatz 4 erlassene Rechtsverordnung werden durch den Bund ausgeführt; die Wahrnehmung der Aufgaben obliegt dem Bundesamt für Seeschifffahrt und Hydrographie.</w:t>
      </w:r>
    </w:p>
    <w:p>
      <w:r>
        <w:t xml:space="preserve">(2) § 3 Absatz 2 und 3 wird durch den Bund ausgeführt; die Wahrnehmung der Aufgaben obliegt der Berufsgenossenschaft Verkehrswirtschaft Post-Logistik Telekommunikation. § 6 des Seeaufgabengesetzes ist entsprechend anzuwenden.</w:t>
      </w:r>
    </w:p>
    <w:p>
      <w:r>
        <w:rPr>
          <w:color w:val="555555"/>
          <w:sz w:val="17"/>
        </w:rPr>
        <w:t xml:space="preserve">Zitiervorschlag: § 4 ÖlSG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https://recht.nulegal.eu/gesetze/%C3%96lSG/4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ÖlSG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