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ÖlSG</w:t>
      </w:r>
    </w:p>
    <w:p>
      <w:r>
        <w:rPr>
          <w:color w:val="555555"/>
          <w:sz w:val="18"/>
        </w:rPr>
        <w:t xml:space="preserve">Ölschadengesetz</w:t>
      </w:r>
    </w:p>
    <w:p>
      <w:r>
        <w:rPr>
          <w:color w:val="555555"/>
          <w:sz w:val="18"/>
        </w:rPr>
        <w:t xml:space="preserve">Außer Kraft: § 13 ist seit 01.03.2023 nicht mehr im ÖlSG enthalten. Angezeigt wird die letzte bekannte Fassung, Stand 10.06.2019.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13 ÖlSG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https://recht.nulegal.eu/gesetze/%C3%96lSG/13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