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ÖkoKennzV</w:t>
      </w:r>
    </w:p>
    <w:p>
      <w:r>
        <w:rPr>
          <w:color w:val="555555"/>
          <w:sz w:val="18"/>
        </w:rPr>
        <w:t xml:space="preserve">Öko-Kennzeichenverordnung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 Abs. 1 des Öko-Kennzeichengesetzes vom 10. Dezember 2001 (BGBl. I S. 3441) verordnet das Bundesministerium für Verbraucherschutz, Ernährung und Landwirtschaft:</w:t>
      </w:r>
    </w:p>
    <w:p>
      <w:r>
        <w:rPr>
          <w:color w:val="555555"/>
          <w:sz w:val="17"/>
        </w:rPr>
        <w:t xml:space="preserve">Zitiervorschlag: Eingangsformel ÖkoKennzV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https://recht.nulegal.eu/gesetze/%C3%96koKennzV/eingangsformel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