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ÖkoKennzV — Inkrafttreten</w:t>
      </w:r>
    </w:p>
    <w:p>
      <w:r>
        <w:rPr>
          <w:color w:val="555555"/>
          <w:sz w:val="18"/>
        </w:rPr>
        <w:t xml:space="preserve">Öko-Kennzeichenverordnung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Verordnung tritt am Tag nach der Verkündung in Kraft.</w:t>
      </w:r>
    </w:p>
    <w:p>
      <w:r>
        <w:rPr>
          <w:color w:val="555555"/>
          <w:sz w:val="17"/>
        </w:rPr>
        <w:t xml:space="preserve">Zitiervorschlag: § 5 ÖkoKennzV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https://recht.nulegal.eu/gesetze/%C3%96koKennzV/5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