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ÖkoKennzV — Ordnungswidrigkeiten</w:t>
      </w:r>
    </w:p>
    <w:p>
      <w:r>
        <w:rPr>
          <w:color w:val="555555"/>
          <w:sz w:val="18"/>
        </w:rPr>
        <w:t xml:space="preserve">Öko-Kennzeichenverordnung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4 Abs. 2 des Öko-Kennzeichengesetzes handelt, wer vorsätzlich oder fahrlässig entgegen § 3 Abs. 1 Satz 1 oder Abs. 2 eine Anzeige nicht, nicht richtig oder nicht rechtzeitig erstattet.</w:t>
      </w:r>
    </w:p>
    <w:p>
      <w:r>
        <w:rPr>
          <w:color w:val="555555"/>
          <w:sz w:val="17"/>
        </w:rPr>
        <w:t xml:space="preserve">Zitiervorschlag: § 4 ÖkoKennzV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https://recht.nulegal.eu/gesetze/%C3%96koKennzV/4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