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ÖkoKennzG — Ermächtigungen</w:t>
      </w:r>
    </w:p>
    <w:p>
      <w:r>
        <w:rPr>
          <w:color w:val="555555"/>
          <w:sz w:val="18"/>
        </w:rPr>
        <w:t xml:space="preserve">Öko-Kennzeichengesetz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Bundesministerium für Ernährung und Landwirtschaft wird ermächtigt, durch Rechtsverordnung mit Zustimmung des Bundesrates Einzelheiten der Verwendung des Öko-Kennzeichens zu regeln, soweit dies erforderlich ist, um eine einheitliche Kennzeichnung oder eine eindeutige Erkennbarkeit der Erzeugnisse zu gewährleisten.</w:t>
      </w:r>
    </w:p>
    <w:p>
      <w:r>
        <w:t xml:space="preserve">(2) Das Bundesministerium für Ernährung und Landwirtschaft wird ermächtigt, durch Rechtsverordnung ohne Zustimmung des Bundesrates</w:t>
      </w:r>
    </w:p>
    <w:p>
      <w:pPr>
        <w:ind w:left="420"/>
      </w:pPr>
      <w:r>
        <w:t xml:space="preserve">1. die Gestaltung des Öko-Kennzeichens,</w:t>
      </w:r>
    </w:p>
    <w:p>
      <w:pPr>
        <w:ind w:left="420"/>
      </w:pPr>
      <w:r>
        <w:t xml:space="preserve">2. die Anzeige der Verwendung des Öko-Kennzeichens an die Bundesanstalt für Landwirtschaft und Ernährung</w:t>
      </w:r>
    </w:p>
    <w:p>
      <w:r>
        <w:t xml:space="preserve">zu regeln. In einer Rechtsverordnung nach Satz 1 Nr. 2 kann die Aufgabe der Bundesanstalt für Landwirtschaft und Ernährung einer sachkundigen, unabhängigen und zuverlässigen Person des Privatrechts übertragen werden.</w:t>
      </w:r>
    </w:p>
    <w:p>
      <w:r>
        <w:t xml:space="preserve">(3) Das Bundesministerium Ernährung und Landwirtschaft wird ermächtigt, durch Rechtsverordnung ohne Zustimmung des Bundesrates</w:t>
      </w:r>
    </w:p>
    <w:p>
      <w:pPr>
        <w:ind w:left="420"/>
      </w:pPr>
      <w:r>
        <w:t xml:space="preserve">1. Verweisungen auf Vorschriften der Verordnung (EU) 2018/848 in diesem Gesetz zu ändern, soweit es zur Anpassung an Änderungen dieser Vorschriften erforderlich ist,</w:t>
      </w:r>
    </w:p>
    <w:p>
      <w:pPr>
        <w:ind w:left="420"/>
      </w:pPr>
      <w:r>
        <w:t xml:space="preserve">2. Vorschriften dieses Gesetzes zu streichen oder in ihrem Wortlaut einem verbleibenden Anwendungsbereich anzupassen, soweit sie durch den Erlass entsprechender Vorschriften in Verordnungen der Europäischen Union unanwendbar geworden sind.</w:t>
      </w:r>
    </w:p>
    <w:p>
      <w:r>
        <w:rPr>
          <w:color w:val="555555"/>
          <w:sz w:val="17"/>
        </w:rPr>
        <w:t xml:space="preserve">Zitiervorschlag: § 2 ÖkoKennzG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