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ÖkoKennzG — Öko-Kennzeichen</w:t>
      </w:r>
    </w:p>
    <w:p>
      <w:r>
        <w:rPr>
          <w:color w:val="555555"/>
          <w:sz w:val="18"/>
        </w:rPr>
        <w:t xml:space="preserve">Öko-Kennzeichengesetz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(1) Ein Erzeugnis im Sinne des Artikels 2 Absatz 1 der Verordnung (EU) 2018/848 des Europäischen Parlaments und des Rates vom 30. Mai 2018 über die ökologische/biologische Produktion und die Kennzeichnung von ökologischen/biologischen Erzeugnissen sowie zur Aufhebung der Verordnung (EG) Nr. 834/2007 des Rates (ABl. L 150 vom 14.6.2018, S. 1; L 270 vom 29.10.2018, S. 37; L 305 vom 26.11.2019, S. 59; L 37 vom 10.2.2020, S. 26; L 324 vom 6.10.2020, S. 65; L 7 vom 11.1.2021, S. 53; L 204 vom 10.6.2021, S. 47; L 318 vom 9.9.2021, S. 5), die zuletzt durch die Verordnung (EU) 2022/474 (ABl. L 98 vom 25.3.2022, S. 1) geändert worden ist, darf mit einem Kennzeichen nach Maßgabe einer Rechtsverordnung nach § 2 Absatz 2 Satz 1 Nummer 1 (Öko-Kennzeichen) nur in den Verkehr gebracht werden, wenn die Voraussetzungen für die Verwendung von Bezeichnungen mit Bezug auf die ökologische/biologische Produktion nach Artikel 30 Absatz 2 Unterabsatz 1 oder Absatz 5 Unterabsatz 1 Buchstabe a, jeweils in Verbindung mit Absatz 4, der Verordnung (EU) 2018/848 erfüllt sind.</w:t>
      </w:r>
    </w:p>
    <w:p>
      <w:r>
        <w:t xml:space="preserve">(2) Es ist verboten,</w:t>
      </w:r>
    </w:p>
    <w:p>
      <w:pPr>
        <w:ind w:left="420"/>
      </w:pPr>
      <w:r>
        <w:t xml:space="preserve">1. andere als die in Absatz 1 bezeichneten Erzeugnisse mit dem Öko-Kennzeichen,</w:t>
      </w:r>
    </w:p>
    <w:p>
      <w:pPr>
        <w:ind w:left="420"/>
      </w:pPr>
      <w:r>
        <w:t xml:space="preserve">2. ein Erzeugnis oder einen sonstigen Gegenstand mit einer dem Öko-Kennzeichen nachgemachten Kennzeichnung, die zur Irreführung über die Art der Erzeugung, die Zusammensetzung oder andere verkehrswesentliche Eigenschaften des gekennzeichneten Erzeugnisses oder Gegenstandes geeignet ist,</w:t>
      </w:r>
    </w:p>
    <w:p>
      <w:r>
        <w:t xml:space="preserve">in den Verkehr zu bringen.</w:t>
      </w:r>
    </w:p>
    <w:p>
      <w:r>
        <w:t xml:space="preserve">(3) Sonstige Vorschriften über die Kennzeichnung oder Etikettierung von Saatgut, Futtermitteln oder Lebensmitteln bleiben unberührt.</w:t>
      </w:r>
    </w:p>
    <w:p>
      <w:r>
        <w:rPr>
          <w:color w:val="555555"/>
          <w:sz w:val="17"/>
        </w:rPr>
        <w:t xml:space="preserve">Zitiervorschlag: § 1 ÖkoKennzG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