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ÖPNVP-VO (Nordrhein-Westfalen)</w:t>
      </w:r>
    </w:p>
    <w:p>
      <w:r>
        <w:rPr>
          <w:color w:val="555555"/>
          <w:sz w:val="18"/>
        </w:rPr>
        <w:t xml:space="preserve">ÖPNV-Pauschalen-Verordnung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2025</w:t>
      </w:r>
    </w:p>
    <w:p>
      <w:r>
        <w:t xml:space="preserve">Auf Grund des § 11 Absatz 1 Satz 3 und Satz 7 und Absatz 2 Satz 2 des Gesetzes über den öffentlichen Personennahverkehr in Nordrhein-Westfalen vom 7. März 1995 (GV. NRW. S. 196), geändert durch Gesetz vom 4. Dezember 2012 (GV. NRW. S. 638), wird im Einvernehmen mit dem fachlich zuständigen Landtagsausschuss verordnet:</w:t>
      </w:r>
    </w:p>
    <w:p>
      <w:r>
        <w:rPr>
          <w:color w:val="555555"/>
          <w:sz w:val="17"/>
        </w:rPr>
        <w:t xml:space="preserve">Zitiervorschlag: Eingangsformel ÖPNVP-VO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https://recht.nulegal.eu/gesetze/%C3%96PNVP-VO/eingangsformel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