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ÖPNVP-VO (Nordrhein-Westfalen) — Verwendungszweck der SPNV-Pauschale</w:t>
      </w:r>
    </w:p>
    <w:p>
      <w:r>
        <w:rPr>
          <w:color w:val="555555"/>
          <w:sz w:val="18"/>
        </w:rPr>
        <w:t xml:space="preserve">ÖPNV-Pauschalen-Verordnung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Verwendungszweck der Pauschale nach § 11 Absatz 1 ÖPNVG NRW wird zur Sicherstellung von Projekten des ÖPNV, die auf Grund von Vorgaben auf Ebene des Bundes unter Mitwirkung des Landes realisiert werden, nachfolgend näher bestimmt.</w:t>
      </w:r>
    </w:p>
    <w:p>
      <w:r>
        <w:t xml:space="preserve">(2) Für die Sicherstellung des ÖPNV-Projektes Rhein-Ruhr-Express gemäß § 2 Absatz 2a ÖPNVG NRW haben die Zweckverbände gemäß § 5 Absatz 1 ÖPNVG NRW folgende Vorgaben zu beachten:</w:t>
      </w:r>
    </w:p>
    <w:p>
      <w:r>
        <w:t xml:space="preserve">1. Auf das in der Anlage zu dieser Verordnung dargestellte Linien- und Haltekonzept des Rhein-Ruhr-Express zwischen Köln und Dortmund ist hinzuwirken.</w:t>
      </w:r>
    </w:p>
    <w:p>
      <w:r>
        <w:t xml:space="preserve">2. Bei der Vergabe von Schienenpersonennahverkehrsleistungen, die solche enthalten, die voraussichtlich ab dem Fahrplanwechsel am 10. Dezember 2023 oder später in Linien des Rhein-Ruhr-Express aufgehen, sind an die Fahrzeuge dieselben Anforderungen zu stellen, wie an Fahrzeuge des Rhein-Ruhr-Express. Diese Anforderungen sind:</w:t>
      </w:r>
    </w:p>
    <w:p>
      <w:r>
        <w:t xml:space="preserve">a) elektrische, mehrfachtraktionsfähige Doppelstocktriebfahrzeuge mit Zweirichtungsbetrieb,</w:t>
      </w:r>
    </w:p>
    <w:p>
      <w:r>
        <w:t xml:space="preserve">b) die Zuglänge darf in Doppeltraktion 215 m über Puffer nicht überschreiten,</w:t>
      </w:r>
    </w:p>
    <w:p>
      <w:r>
        <w:t xml:space="preserve">c) automatische Mittelpufferkupplungen,</w:t>
      </w:r>
    </w:p>
    <w:p>
      <w:r>
        <w:t xml:space="preserve">d) Notbremsüberbrückung,</w:t>
      </w:r>
    </w:p>
    <w:p>
      <w:r>
        <w:t xml:space="preserve">e) Höchstgeschwindigkeit von mindestens 160 km/h,</w:t>
      </w:r>
    </w:p>
    <w:p>
      <w:r>
        <w:t xml:space="preserve">f) Beschleunigung von mindestens 1,0 m/s²,</w:t>
      </w:r>
    </w:p>
    <w:p>
      <w:r>
        <w:t xml:space="preserve">g) Zeitbedarf von höchstens 72,5 s zum Erreichen von 160 km/h aus dem Stand,</w:t>
      </w:r>
    </w:p>
    <w:p>
      <w:r>
        <w:t xml:space="preserve">h) mindestens 800 Sitzplätze pro Zug und mindestens 400 Sitzplätze je Fahrzeug,</w:t>
      </w:r>
    </w:p>
    <w:p>
      <w:r>
        <w:t xml:space="preserve">i) alle Türen mit niveaugleichen, mindestens zweispurigen Einstiegsbereichen bei einer Bahnsteighöhe von 760 mm über Schienenoberkante,</w:t>
      </w:r>
    </w:p>
    <w:p>
      <w:r>
        <w:t xml:space="preserve">j) die Anzahl der Türen je Fahrzeugseite ist so zu bemessen, auf jede Türspur maximal 26 feste Sitzplätze entfallen,</w:t>
      </w:r>
    </w:p>
    <w:p>
      <w:r>
        <w:t xml:space="preserve">k) Sitzabstände von mindestens 800 mm bei Reihenbestuhlung und mindestens 1.750 mm bei Vis-à-vis-Bestuhlung,</w:t>
      </w:r>
    </w:p>
    <w:p>
      <w:r>
        <w:t xml:space="preserve">l) einheitliches Farbkonzept für alle Fahrzeuge sowohl für die äußere Hülle als auch für die Innenausstattung,</w:t>
      </w:r>
    </w:p>
    <w:p>
      <w:r>
        <w:t xml:space="preserve">m) vandalismusresistente Oberflächen,</w:t>
      </w:r>
    </w:p>
    <w:p>
      <w:r>
        <w:t xml:space="preserve">n) mindestens ein Erste-Klasse-Bereich je Fahrzeug,</w:t>
      </w:r>
    </w:p>
    <w:p>
      <w:r>
        <w:t xml:space="preserve">o) mindestens ein Mehrzweckraum je Fahrzeug,</w:t>
      </w:r>
    </w:p>
    <w:p>
      <w:r>
        <w:t xml:space="preserve">p) mindestens zwei Toiletten je Fahrzeug davon mindestens eine behindertengerecht,</w:t>
      </w:r>
    </w:p>
    <w:p>
      <w:r>
        <w:t xml:space="preserve">q) Fahrgastinformation mindestens mit Displays an Fahrzeugfront und -seiten sowie im Fahrzeug und</w:t>
      </w:r>
    </w:p>
    <w:p>
      <w:r>
        <w:t xml:space="preserve">r) Klimatisierung auch im abgestellten Zustand.</w:t>
      </w:r>
    </w:p>
    <w:p>
      <w:r>
        <w:t xml:space="preserve">(3) Das für das Verkehrswesen zuständige Ministerium kann Abweichungen von den Vorgaben nach Absatz 2 zulassen.</w:t>
      </w:r>
    </w:p>
    <w:p>
      <w:r>
        <w:rPr>
          <w:color w:val="555555"/>
          <w:sz w:val="17"/>
        </w:rPr>
        <w:t xml:space="preserve">Zitiervorschlag: § 2 ÖPNVP-VO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https://recht.nulegal.eu/gesetze/%C3%96PNVP-VO/2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ÖPNVP-VO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