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ÖPNVG (Brandenburg) — Nahverkehrsbeiräte</w:t>
      </w:r>
    </w:p>
    <w:p>
      <w:r>
        <w:rPr>
          <w:color w:val="555555"/>
          <w:sz w:val="18"/>
        </w:rPr>
        <w:t xml:space="preserve">ÖPNV-Gesetz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den Aufgabenträgern gemäß § 3 können Nahverkehrsbeiräte gebildet werden. Sie beraten die Aufgabenträger bei der Wahrnehmung ihrer Aufgaben. Die Nahverkehrsbeiräte können die Organisation der Beteiligung und Anhörung bei der Aufstellung der Nahverkehrspläne gemäß § 9 unterstützen.</w:t>
      </w:r>
    </w:p>
    <w:p>
      <w:r>
        <w:t xml:space="preserve">(2) Die Aufgabenträger können die Bildung und Arbeitsweise der Nahverkehrsbeiräte sowie die Mitgliedschaft regeln. Bei der Zusammensetzung der Nahverkehrsbeiräte sollen möglichst die Interessenvertreter aller am öffentlichen Personennahverkehr Beteiligten berücksichtigt werden.</w:t>
      </w:r>
    </w:p>
    <w:p>
      <w:r>
        <w:rPr>
          <w:color w:val="555555"/>
          <w:sz w:val="17"/>
        </w:rPr>
        <w:t xml:space="preserve">Zitiervorschlag: § 7 ÖPNVG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https://recht.nulegal.eu/gesetze/%C3%96PNVG/7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