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ÖPNVG (Brandenburg) — Ziele und Grundsätze des öffentlichen Personennahverkehrs</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Sicherstellung einer ausreichenden Bedienung der Bevölkerung mit Verkehrsleistungen im öffentlichen Personennahverkehr gemäß § 1 Absatz 1 des Regionalisierungsgesetzes vom 27. Dezember 1993 ( BGBl. I S. 2378, 2395), das zuletzt durch Artikel 1 des Gesetzes vom 20. April 2023 (BGBl. I Nr. 107) geändert worden ist, ist eine Aufgabe der Daseinsvorsorge. Das Land Brandenburg setzt sich darüber hinaus das Ziel einer angemessenen Verkehrsbedienung der Bevölkerung mit Verkehrsleistungen im öffentlichen Personennahverkehr unter Berücksichtigung der Mindestbedienstandards gemäß § 5.</w:t>
      </w:r>
    </w:p>
    <w:p>
      <w:r>
        <w:t xml:space="preserve">(2) Der öffentliche Personennahverkehr soll der Verbesserung der Mobilität der Bevölkerung, der Herstellung gleichwertiger Lebensbedingungen, dem Umwelt- und Klimaschutz sowie der Verkehrssicherheit dienen. Er soll unter Berücksichtigung der Zielvorgaben in § 5 so gestaltet werden, dass er eine attraktive Alternative zum motorisierten Individualverkehr darstellt und damit zu den in § 5 des Mobilitätsgesetzes des Landes Brandenburg vom 9. Februar 2024 ( GVBl. I Nr. 6) genannten Verlagerungszielen beiträgt. Dazu soll der öffentliche Personennahverkehr nach Möglichkeit angebotsorientiert unter Berücksichtigung der Zielvorgaben in § 5 gestaltet werden.</w:t>
      </w:r>
    </w:p>
    <w:p>
      <w:r>
        <w:t xml:space="preserve">(3) Bei der Aufstellung von Landes- und Regionalentwicklungsplänen sowie bei der Bauleitplanung ist darauf hinzuwirken, dass im Rahmen einer integrierten Siedlungsentwicklung eine verkehrsgerechte Zuordnung von Wohnbereichen zu Arbeits- und Ausbildungsstätten, wie insbesondere Schulen sowie eine angemessene Anbindung dieser Bereiche an öffentliche und private, gewerbliche, soziale und kulturelle Einrichtungen und an Erholungsbereiche mit Verkehrsmitteln des öffentlichen Personennahverkehrs auf möglichst kurzen Wegen erfolgt.</w:t>
      </w:r>
    </w:p>
    <w:p>
      <w:r>
        <w:t xml:space="preserve">(4) Dem öffentlichen Personennahverkehr soll vor allem in Verdichtungsräumen bei Ausbau und Finanzierung Vorrang vor dem motorisierten Individualverkehr eingeräumt werden.</w:t>
      </w:r>
    </w:p>
    <w:p>
      <w:r>
        <w:t xml:space="preserve">(5) Der öffentliche Personennahverkehr ist unter Einbeziehung aller Verkehrsträger als ganzheitliches System zu planen und durchzuführen. Hierzu wird zwischen den Aufgabenträgern ein integraler Taktfahrplan angestrebt. Parallele Streckenführungen sollen vermieden werden. Sonderlinienverkehre im Sinne von § 43 des Personenbeförderungsgesetzes sind, soweit möglich und wirtschaftlich sinnvoll, in den öffentlichen Linienverkehr nach § 42 des Personenbeförderungsgesetzes zu integrieren.</w:t>
      </w:r>
    </w:p>
    <w:p>
      <w:r>
        <w:t xml:space="preserve">(6) Das Land wirkt nach Maßgabe des Haushaltsgesetzes und im Rahmen der verfügbaren Haushaltsmittel als Arbeitgeber zur Stärkung des öffentlichen Personennahverkehrs darauf hin, dass für alle Mitarbeiterinnen und Mitarbeiter der Landesverwaltung ein Jobticket angeboten wird.</w:t>
      </w:r>
    </w:p>
    <w:p>
      <w:r>
        <w:t xml:space="preserve">(7) An geeigneten Haltepunkten sollen Parkplätze (Park- and Ride-Anlagen) und Abstellanlagen für Fahrräder geschaffen werden. Ein frühzeitiger Übergang auf den öffentlichen Personennahverkehr soll durch Verkehrsleit- und Informationssysteme sowie andere geeignete Maßnahmen unterstützt werden.</w:t>
      </w:r>
    </w:p>
    <w:p>
      <w:r>
        <w:t xml:space="preserve">(8) Das Leistungsangebot des öffentlichen Personennahverkehrs ist grundsätzlich nachfrageorientiert zu gestalten. In verkehrlich hoch belasteten Gebieten kann auch ein über die Nachfrage hinausgehendes Leistungsangebot vorgesehen werden. In ländlichen Räumen soll eine angemessene Bedienung mit Leistungen des öffentlichen Personennahverkehrs gewährleistet werden.</w:t>
      </w:r>
    </w:p>
    <w:p>
      <w:r>
        <w:t xml:space="preserve">(9) Der öffentliche Personennahverkehr soll als einheitliches sowie barriere- und diskriminierungsfreies System verfügbar sein. Hierzu soll ein einheitlicher Tarif (Verbundtarif) angewendet und die Information durchgängig und möglichst lückenlos gestaltet werden. Das Tarifsystem innerhalb des Verkehrsverbundes Berlin-Brandenburg soll so gestaltet sein, dass Tarife einfach und sozial sind. Produkte und Angebotsstandards sollen auf einheitlicher Basis in einem gemeinsamen Verbundraum im Land Brandenburg zusammen mit dem Land Berlin weiterentwickelt werden. Die Verkehrsbedienung durch die einzelnen Verkehrsträger soll im Rahmen von gegenseitig abgestimmten Fahrplänen, mit gesicherten Übergängen und kurzen Anschlusszeiten an verkehrlichen Knotenpunkten erfolgen.</w:t>
      </w:r>
    </w:p>
    <w:p>
      <w:r>
        <w:t xml:space="preserve">(10) In Gebieten und Zeiten geringer Nachfrage können im Rahmen der Mindestbedienstandards nach § 5 auch flexible Bedienformen des öffentlichen Personenverkehrs, beispielsweise Linientaxen, Rufbusse, Anrufbusse oder Bürgerbusse, genutzt werden.</w:t>
      </w:r>
    </w:p>
    <w:p>
      <w:r>
        <w:t xml:space="preserve">(11) Bei der Planung und Gestaltung der Verkehrsinfrastruktur, der Fahrzeuge sowie des Leistungsangebotes des öffentlichen Personennahverkehrs sollen die spezifischen Bedürfnisse von in ihrer Mobilität eingeschränkten Menschen berücksichtigt werden. Eine Einschränkung der Mobilität liegt vor, wenn für den Zugang oder die allgemein übliche Nutzung des Systems des öffentlichen Personennahverkehrs Unterstützungs- und Anpassungsleistungen erforderlich sind.</w:t>
      </w:r>
    </w:p>
    <w:p>
      <w:r>
        <w:t xml:space="preserve">(12) Zur Wahrung der verkehrlichen Verflechtungen, die sich über die Gebietsgrenzen eines Aufgabenträgers hinaus erstrecken, soll das Nahverkehrsangebot möglichst lückenlos und einheitlich gestaltet werden. Innerhalb des Landes Brandenburg wirkt das Land darauf hin, dass die kommunalen Aufgabenträger dies für ihre gemeinsamen Grenzen und die Grenzen zu benachbarten Regionen ebenfalls umsetzen.</w:t>
      </w:r>
    </w:p>
    <w:p>
      <w:r>
        <w:t xml:space="preserve">(13) Innovative Mobilitätskonzepte und Verkehrsangebote des öffentlichen Personennahverkehrs sollen vorbehaltlich der Ressourcenverfügbarkeit mit Blick auf die verbesserte Erfüllung der Ziele dieses Gesetzes erprobt werden. Sie sind zu nutzen, um auf neue Rahmenbedingungen und strukturelle Umbrüche, insbesondere im Kontext der zunehmenden Digitalisierung und des Aufkommens neuer, intelligenter Technologien, entsprechend reagieren zu können.</w:t>
      </w:r>
    </w:p>
    <w:p>
      <w:r>
        <w:rPr>
          <w:color w:val="555555"/>
          <w:sz w:val="17"/>
        </w:rPr>
        <w:t xml:space="preserve">Zitiervorschlag: § 2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