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ÖPNVG (Brandenburg) — Anwendungsbereiche und Begriffsbestimmungen</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den öffentlichen Personennahverkehr auf Schienen, Straßen und Gewässern. Öffentlicher Personennahverkehr im Sinne dieses Gesetzes ist die allgemein zugängliche Beförderung von Personen mit Verkehrsmitteln im Linienverkehr, die überwiegend dazu bestimmt sind, die Verkehrsnachfrage im Stadt-, Vorort- oder Regionalverkehr zu befriedigen. Das ist im Zweifel der Fall, wenn in der Mehrzahl der Beförderungsfälle eines Verkehrsmittels die gesamte Reiseweite 50 Kilometer oder die gesamte Reisezeit eine Stunde nicht übersteigt.</w:t>
      </w:r>
    </w:p>
    <w:p>
      <w:r>
        <w:t xml:space="preserve">(2) Zum öffentlichen Personennahverkehr gehören</w:t>
      </w:r>
    </w:p>
    <w:p>
      <w:r>
        <w:t xml:space="preserve">der Schienenpersonennahverkehr nach § 2 Absatz 12 des Allgemeinen Eisenbahngesetzes, jedoch ohne Museums- und Touristikeisenbahnen;</w:t>
      </w:r>
    </w:p>
    <w:p>
      <w:r>
        <w:t xml:space="preserve">der übrige öffentliche Personennahverkehr nach § 8 Absatz 1 und 2 des Personenbeförderungsgesetzes.</w:t>
      </w:r>
    </w:p>
    <w:p>
      <w:r>
        <w:t xml:space="preserve">(3) Zum öffentlichen Personennahverkehr auf Gewässern gehören auch Fähren, soweit sie die Anforderungen gemäß Absatz 1 erfüllen.</w:t>
      </w:r>
    </w:p>
    <w:p>
      <w:r>
        <w:t xml:space="preserve">(4) Öffentlicher Personennahverkehr ist auch der Verkehr mit Taxen oder Mietwagen, sofern dieser eine der in Absatz 1 genannten Verkehrsarten ersetzt, ergänzt oder verdichtet.</w:t>
      </w:r>
    </w:p>
    <w:p>
      <w:r>
        <w:t xml:space="preserve">(5) Das für Verkehr zuständige Ministerium entscheidet in Zweifelsfällen auf Antrag, ob ein Verkehr zum öffentlichen Personennahverkehr gehört.</w:t>
      </w:r>
    </w:p>
    <w:p>
      <w:r>
        <w:t xml:space="preserve">(6) Begriffsbestimmungen:</w:t>
      </w:r>
    </w:p>
    <w:p>
      <w:r>
        <w:t xml:space="preserve">Ein Integraler Taktfahrplan (ITF) im Sinne dieses Gesetzes besteht aus einem Liniennetz, dessen vertaktete Linien in sogenannten ITF-Knoten durch Anschlussbindungen miteinander verknüpft sind. Die Taktzeiten sind dabei derart aufeinander abgestimmt, dass während des Haltes in einem ITF-Knoten zwischen allen Linien gleichzeitig umgestiegen werden kann. Der Nutzen für die Kunden besteht vor allem in einem leicht einprägsamen Angebot mit regelmäßigen und leicht merkbaren Abfahrts- und Ankunftszeiten sowie einer Maximierung der möglichen Fahrrelationen.</w:t>
      </w:r>
    </w:p>
    <w:p>
      <w:r>
        <w:t xml:space="preserve">Angebotsorientierte Planung im Sinne dieses Gesetzes ist eine an den Zielen dieses Gesetzes ausgerichtete Planung.</w:t>
      </w:r>
    </w:p>
    <w:p>
      <w:r>
        <w:rPr>
          <w:color w:val="555555"/>
          <w:sz w:val="17"/>
        </w:rPr>
        <w:t xml:space="preserve">Zitiervorschlag: § 1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