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ÖPNVFinVO (Sachsen)</w:t>
      </w:r>
    </w:p>
    <w:p>
      <w:r>
        <w:rPr>
          <w:color w:val="555555"/>
          <w:sz w:val="18"/>
        </w:rPr>
        <w:t xml:space="preserve">Verordnung des Sächsischen Staatsministeriums für Infrastruktur und Landesentwicklung zur Finanzierung des öffentlichen Personennahverkehrs</w:t>
      </w:r>
    </w:p>
    <w:p>
      <w:r>
        <w:rPr>
          <w:color w:val="555555"/>
          <w:sz w:val="18"/>
        </w:rPr>
        <w:t xml:space="preserve">Landesrecht Sachsen</w:t>
      </w:r>
    </w:p>
    <w:p>
      <w:r>
        <w:rPr>
          <w:color w:val="555555"/>
          <w:sz w:val="18"/>
        </w:rPr>
        <w:t xml:space="preserve">Stand: 26.08.2026 (konsolidierte Textfassung, kein amtliches Inkrafttretensdatum)</w:t>
      </w:r>
    </w:p>
    <w:p>
      <w:r>
        <w:t xml:space="preserve">Es wird verordnet aufgrund von</w:t>
      </w:r>
    </w:p>
    <w:p>
      <w:r>
        <w:t xml:space="preserve">1. § 7 Abs. 2 Satz 2 des Gesetzes über den öffentlichen Personennahverkehr im Freistaat Sachsen (ÖPNVG) vom 14. Dezember 1995 (SächsGVBl. S. 412, 449), das zuletzt durch Artikel 10a des Gesetzes vom 29. Januar 2008 (SächsGVBl. S. 102, 133) geändert worden ist, im Einvernehmen mit dem Staatsministerium der Finanzen und dem Staatsministerium des Innern,</w:t>
      </w:r>
    </w:p>
    <w:p>
      <w:r>
        <w:t xml:space="preserve">2. § 16 Abs. 1 Satz 2 Nr. 2 des Gesetzes über die Verwaltungsorganisation des Freistaates Sachsen (Sächsisches Verwaltungsorganisationsgesetz – SächsVwOrgG) vom 25. November 2003 (SächsGVBl. S. 899), das zuletzt durch Artikel 1 des Gesetzes vom 29. Januar 2008 (SächsGVBl. S. 138, 140) geändert worden ist, mit Zustimmung der Staatsregierung:</w:t>
      </w:r>
    </w:p>
    <w:p>
      <w:r>
        <w:rPr>
          <w:color w:val="555555"/>
          <w:sz w:val="17"/>
        </w:rPr>
        <w:t xml:space="preserve">Zitiervorschlag: Eingangsformel ÖPNVFinVO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https://recht.nulegal.eu/gesetze/%C3%96PNVFinVO/eingangsformel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