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ÖPNVFinVO (Sachsen) — Inkrafttreten und Außerkrafttreten</w:t>
      </w:r>
    </w:p>
    <w:p>
      <w:r>
        <w:rPr>
          <w:color w:val="555555"/>
          <w:sz w:val="18"/>
        </w:rPr>
        <w:t xml:space="preserve">Verordnung des Sächsischen Staatsministeriums für Infrastruktur und Landesentwicklung zur Finanzierung des öffentlichen Personennahverkehrs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mit Wirkung vom 1. Januar 2008 in Kraft, soweit in Absatz 2 nichts anderes bestimmt ist. Gleichzeitig tritt die Verordnung des Sächsischen Staatsministeriums für Wirtschaft und Arbeit zur Finanzierung des öffentlichen Personennahverkehrs (ÖPNVFinVO) vom 8. Oktober 2007 (SächsGVBl. S. 438) mit Ausnahme von § 3 Satz 1 außer Kraft.</w:t>
      </w:r>
    </w:p>
    <w:p>
      <w:r>
        <w:t xml:space="preserve">(2) § 1 Abs. 4 und § 2 Abs. 2 treten am Tage nach der Verkündung dieser Verordnung in Kraft.</w:t>
      </w:r>
    </w:p>
    <w:p>
      <w:r>
        <w:t xml:space="preserve">Dresden, den 29. April 2009</w:t>
      </w:r>
    </w:p>
    <w:p>
      <w:r>
        <w:t xml:space="preserve">Der Staatsminister für Wirtschaft und Arbeit</w:t>
      </w:r>
    </w:p>
    <w:p>
      <w:r>
        <w:t xml:space="preserve">Thomas Jurk</w:t>
      </w:r>
    </w:p>
    <w:p>
      <w:r>
        <w:rPr>
          <w:color w:val="555555"/>
          <w:sz w:val="17"/>
        </w:rPr>
        <w:t xml:space="preserve">Zitiervorschlag: § 4 ÖPNVFinVO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https://recht.nulegal.eu/gesetze/%C3%96PNVFinVO/4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ÖPNVFinVO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