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ÖLGKontrollStZulV</w:t>
      </w:r>
    </w:p>
    <w:p>
      <w:r>
        <w:rPr>
          <w:color w:val="555555"/>
          <w:sz w:val="18"/>
        </w:rPr>
        <w:t xml:space="preserve">ÖLG-Kontrollstellen-Zulassungsverordnung</w:t>
      </w:r>
    </w:p>
    <w:p>
      <w:r>
        <w:rPr>
          <w:color w:val="555555"/>
          <w:sz w:val="18"/>
        </w:rPr>
        <w:t xml:space="preserve">Historische Fassung: Stand 10.06.2019 bis 03.08.2023. Dies ist nicht die aktuelle Fassung.</w:t>
      </w:r>
    </w:p>
    <w:p>
      <w:r>
        <w:t xml:space="preserve">Auf Grund des § 11 Absatz 1 Nummer 6 des Öko-Landbaugesetzes vom 7. Dezember 2008 (BGBl. I S. 2358) verordnet das Bundesministerium für Ernährung, Landwirtschaft und Verbraucherschutz:</w:t>
      </w:r>
    </w:p>
    <w:p>
      <w:r>
        <w:rPr>
          <w:color w:val="555555"/>
          <w:sz w:val="17"/>
        </w:rPr>
        <w:t xml:space="preserve">Zitiervorschlag: Eingangsformel ÖLGKontrollStZulV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https://recht.nulegal.eu/gesetze/%C3%96LGKontrollStZulV/eingangsformel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