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ÖLGKontrollStZulV — Übergangsvorschrift</w:t>
      </w:r>
    </w:p>
    <w:p>
      <w:r>
        <w:rPr>
          <w:color w:val="555555"/>
          <w:sz w:val="18"/>
        </w:rPr>
        <w:t xml:space="preserve">ÖLG-Kontrollstellen-Zulassungsverordnung</w:t>
      </w:r>
    </w:p>
    <w:p>
      <w:r>
        <w:rPr>
          <w:color w:val="555555"/>
          <w:sz w:val="18"/>
        </w:rPr>
        <w:t xml:space="preserve">Historische Fassung: Stand 10.06.2019 bis 03.08.2023. Dies ist nicht die aktuelle Fassung.</w:t>
      </w:r>
    </w:p>
    <w:p>
      <w:r>
        <w:t xml:space="preserve">Im Falle einer am 12. Mai 2012 bestehenden Zulassung nach § 4 Absatz 1 des Öko-Landbaugesetzes kann die Bundesanstalt diese, soweit die Voraussetzungen des § 4 Absatz 4 des Öko-Landbaugesetzes erfüllt sind, mit der Auflage versehen, innerhalb einer angemessenen Frist folgende Unterlagen vorzulegen:</w:t>
      </w:r>
    </w:p>
    <w:p>
      <w:pPr>
        <w:ind w:left="420"/>
      </w:pPr>
      <w:r>
        <w:t xml:space="preserve">1. das Qualitätsmanagement-Handbuch nach § 4,</w:t>
      </w:r>
    </w:p>
    <w:p>
      <w:pPr>
        <w:ind w:left="420"/>
      </w:pPr>
      <w:r>
        <w:t xml:space="preserve">2. das Standardkontrollverfahren und den Musterkontrollvertrag nach § 5,</w:t>
      </w:r>
    </w:p>
    <w:p>
      <w:pPr>
        <w:ind w:left="420"/>
      </w:pPr>
      <w:r>
        <w:t xml:space="preserve">3. die Nachweise für die Erfüllung der Anforderungen an das Kontrollstellenpersonal nach § 11 sowie</w:t>
      </w:r>
    </w:p>
    <w:p>
      <w:pPr>
        <w:ind w:left="420"/>
      </w:pPr>
      <w:r>
        <w:t xml:space="preserve">4. die Verfahrensanweisungen</w:t>
      </w:r>
    </w:p>
    <w:p>
      <w:pPr>
        <w:ind w:left="780"/>
      </w:pPr>
      <w:r>
        <w:t xml:space="preserve">a) zur Durchführung der Risikoanalyse nach § 6,</w:t>
      </w:r>
    </w:p>
    <w:p>
      <w:pPr>
        <w:ind w:left="780"/>
      </w:pPr>
      <w:r>
        <w:t xml:space="preserve">b) für die Durchführung von Probenahmen nach § 7,</w:t>
      </w:r>
    </w:p>
    <w:p>
      <w:pPr>
        <w:ind w:left="780"/>
      </w:pPr>
      <w:r>
        <w:t xml:space="preserve">c) zu den Informationspflichten nach § 8,</w:t>
      </w:r>
    </w:p>
    <w:p>
      <w:pPr>
        <w:ind w:left="780"/>
      </w:pPr>
      <w:r>
        <w:t xml:space="preserve">d) zur Durchführung von Kontrollbesuchen nach § 9 und</w:t>
      </w:r>
    </w:p>
    <w:p>
      <w:pPr>
        <w:ind w:left="780"/>
      </w:pPr>
      <w:r>
        <w:t xml:space="preserve">e) zum Maßnahmenkatalog nach § 10.</w:t>
      </w:r>
    </w:p>
    <w:p>
      <w:r>
        <w:rPr>
          <w:color w:val="555555"/>
          <w:sz w:val="17"/>
        </w:rPr>
        <w:t xml:space="preserve">Zitiervorschlag: § 16 ÖLGKontrollStZulV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https://recht.nulegal.eu/gesetze/%C3%96LGKontrollStZulV/16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