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ÖLGKontrollStZulV — Unterrichtung der Länder</w:t>
      </w:r>
    </w:p>
    <w:p>
      <w:r>
        <w:rPr>
          <w:color w:val="555555"/>
          <w:sz w:val="18"/>
        </w:rPr>
        <w:t xml:space="preserve">ÖLG-Kontrollstellen-Zulassungsverordnung</w:t>
      </w:r>
    </w:p>
    <w:p>
      <w:r>
        <w:rPr>
          <w:color w:val="555555"/>
          <w:sz w:val="18"/>
        </w:rPr>
        <w:t xml:space="preserve">Historische Fassung: Stand 10.06.2019 bis 03.08.2023. Dies ist nicht die aktuelle Fassung.</w:t>
      </w:r>
    </w:p>
    <w:p>
      <w:r>
        <w:t xml:space="preserve">Die Bundesanstalt unterrichtet die zuständigen Landesbehörden über die Erteilung einer Zulassung sowie über deren Änderung.</w:t>
      </w:r>
    </w:p>
    <w:p>
      <w:r>
        <w:rPr>
          <w:color w:val="555555"/>
          <w:sz w:val="17"/>
        </w:rPr>
        <w:t xml:space="preserve">Zitiervorschlag: § 15 ÖLGKontrollStZulV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https://recht.nulegal.eu/gesetze/%C3%96LGKontrollStZulV/15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ÖLGKontrollStZulV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