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ÖLG-DV — Standardkontrollverfahren</w:t>
      </w:r>
    </w:p>
    <w:p>
      <w:r>
        <w:rPr>
          <w:color w:val="555555"/>
          <w:sz w:val="18"/>
        </w:rPr>
        <w:t xml:space="preserve">Öko-Landbaugesetz-Durchführungsverordnung</w:t>
      </w:r>
    </w:p>
    <w:p>
      <w:r>
        <w:rPr>
          <w:color w:val="555555"/>
          <w:sz w:val="18"/>
        </w:rPr>
        <w:t xml:space="preserve">Stand: 03.08.2023 (konsolidierte Textfassung, kein amtliches Inkrafttretensdatum)</w:t>
      </w:r>
    </w:p>
    <w:p>
      <w:r>
        <w:t xml:space="preserve">(1) Dem Antrag ist eine Darstellung des von der Kontrollstelle nach Artikel 40 Absatz 1 Buchstabe a Nummer ii der Verordnung (EU) 2018/848 vorgesehenen Kontrollverfahrens (Standardkontrollverfahren) beizufügen. In der Darstellung sind auch zu beschreiben</w:t>
      </w:r>
    </w:p>
    <w:p>
      <w:pPr>
        <w:ind w:left="420"/>
      </w:pPr>
      <w:r>
        <w:t xml:space="preserve">1. die Kontrollen bei den Unternehmen, bei denen nach Artikel 38 Absatz 3 Unterabsatz 2 der Verordnung (EU) 2018/848 nicht jährlich eine Vor-Ort-Kontrolle stattfindet,</w:t>
      </w:r>
    </w:p>
    <w:p>
      <w:pPr>
        <w:ind w:left="420"/>
      </w:pPr>
      <w:r>
        <w:t xml:space="preserve">2. die Überwachung, ob die Anordnungen nach Artikel 29 Absatz 1 Buchstabe b, Artikel 41 Absatz 1 Buchstabe b und Artikel 42 Absatz 1 der Verordnung (EU) 2018/848 sowie Nebenbestimmungen zu Ausnahmegenehmigungen von den Produktionsvorgaben der Verordnung (EU) 2018/848 und der auf ihrer Grundlage erlassenen Rechtsakte der Europäischen Union eingehalten werden, auch wenn sie durch die zuständige Behörde erlassen wurden.</w:t>
      </w:r>
    </w:p>
    <w:p>
      <w:r>
        <w:t xml:space="preserve">(2) Aus der Darstellung des Standardkontrollverfahrens muss hervorgehen, dass festgestellte Verstöße sowie Auflagen, Maßnahmen und Fristen zu deren Beseitigung von der Kontrollstelle zu dokumentieren und, soweit dies zweckdienlich ist, die Abhilfe der festgestellten Verstöße sowie die Maßnahmen im Wege von Nachkontrollen durch die Kontrollstelle zu überprüfen sind.</w:t>
      </w:r>
    </w:p>
    <w:p>
      <w:r>
        <w:t xml:space="preserve">(3) Die Darstellung des Standardkontrollverfahrens muss eine Verfahrensanweisung enthalten, die vorsieht, dass die Kontrollstelle, soweit ihr die Aufgabe nach Anhang II Teil I Nummer 1.8.5.1 Unterabsatz 3 der Verordnung (EU) 2018/848 übertragen wird, die von ihr erteilten Genehmigungen in die Datenbank im Sinne des Artikels 26 der Verordnung (EU) 2018/848 einträgt.</w:t>
      </w:r>
    </w:p>
    <w:p>
      <w:r>
        <w:t xml:space="preserve">(4) Die Darstellung des Standardkontrollverfahrens muss eine Verfahrensanweisung enthalten, die vorsieht, dass die Kontrollstelle nach Abschluss von amtlichen Untersuchungen die nach Artikel 29 Absatz 9 der Verordnung (EU) 2018/848 sowie nach der auf Grund des Artikel 29 Absatz 8 Buchstabe b der Verordnung (EU) 2018/848 erlassenen Durchführungsverordnung relevanten Informationen in dem dafür von der Europäischen Kommission bereitgestellten Computersystem einzutragen hat.</w:t>
      </w:r>
    </w:p>
    <w:p>
      <w:r>
        <w:rPr>
          <w:color w:val="555555"/>
          <w:sz w:val="17"/>
        </w:rPr>
        <w:t xml:space="preserve">Zitiervorschlag: § 7 ÖLG-DV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https://recht.nulegal.eu/gesetze/%C3%96LG-DV/7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ÖLG-DV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