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ÖLG-DV — Aufgaben im Außenverkehr</w:t>
      </w:r>
    </w:p>
    <w:p>
      <w:r>
        <w:rPr>
          <w:color w:val="555555"/>
          <w:sz w:val="18"/>
        </w:rPr>
        <w:t xml:space="preserve">Öko-Landbaugesetz-Durchführungsverordnung</w:t>
      </w:r>
    </w:p>
    <w:p>
      <w:r>
        <w:rPr>
          <w:color w:val="555555"/>
          <w:sz w:val="18"/>
        </w:rPr>
        <w:t xml:space="preserve">Stand: 03.08.2023 (konsolidierte Textfassung, kein amtliches Inkrafttretensdatum)</w:t>
      </w:r>
    </w:p>
    <w:p>
      <w:r>
        <w:t xml:space="preserve">(1) Die Bundesanstalt nimmt folgende Aufgaben im Verkehr mit den zuständigen Behörden anderer Mitgliedstaaten der Europäischen Union, anderer Vertragsstaaten des Abkommens über den Europäischen Wirtschaftsraum und der Europäischen Kommission im Anwendungsbereich des Öko-Landbaugesetzes wahr:</w:t>
      </w:r>
    </w:p>
    <w:p>
      <w:pPr>
        <w:ind w:left="420"/>
      </w:pPr>
      <w:r>
        <w:t xml:space="preserve">1. die Funktion als</w:t>
      </w:r>
    </w:p>
    <w:p>
      <w:pPr>
        <w:ind w:left="780"/>
      </w:pPr>
      <w:r>
        <w:t xml:space="preserve">a) zentrale Behörde im Bereich der ökologischen/biologischen Produktion und Kennzeichnung nach Artikel 4 Absatz 2 Buchstabe b in Verbindung mit Artikel 1 Absatz 2 Buchstabe i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(ABl. L 95 vom 7.4.2017, S. 1; L 137 vom 24.5.2017, S. 40; L 48 vom 21.2.2018, S. 44; L 322 vom 18.12.2018, S. 85) in der jeweils geltenden Fassung,</w:t>
      </w:r>
    </w:p>
    <w:p>
      <w:pPr>
        <w:ind w:left="780"/>
      </w:pPr>
      <w:r>
        <w:t xml:space="preserve">b) nationale Kontaktstelle im Bereich der ökologischen/biologischen Produktion und Kennzeichnung für TRACES nach Artikel 4 Absatz 2 in Verbindung mit Artikel 3 Absatz 1 Buchstabe d und nach Artikel 35 der Durchführungsverordnung (EU) 2019/1715 der Kommission vom 30. September 2019 mit Vorschriften zur Funktionsweise des Informationsmanagementsystems für amtliche Kontrollen und seiner Systemkomponenten (ABl. L 261 vom 14.10.2019, S. 37; L 303 vom 25.11.2019, S. 37; L 378 vom 12.11.2020, S. 28) in der jeweils geltenden Fassung,</w:t>
      </w:r>
    </w:p>
    <w:p>
      <w:pPr>
        <w:ind w:left="780"/>
      </w:pPr>
      <w:r>
        <w:t xml:space="preserve">c) Verbindungsstelle für Amtshilfeersuchen nach Artikel 103 Absatz 1 der Verordnung (EU) 2017/625 für den Bereich der ökologischen/biologischen Produktion und Kennzeichnung;</w:t>
      </w:r>
    </w:p>
    <w:p>
      <w:pPr>
        <w:ind w:left="420"/>
      </w:pPr>
      <w:r>
        <w:t xml:space="preserve">2. die Vornahme der nach den Rechtsakten der Europäischen Union im Anwendungsbereich dieser Verordnung erforderlichen Meldungen:</w:t>
      </w:r>
    </w:p>
    <w:p>
      <w:pPr>
        <w:ind w:left="780"/>
      </w:pPr>
      <w:r>
        <w:t xml:space="preserve">a) Austausch von Informationen nach Artikel 105 Absatz 1 und Artikel 106 Absatz 1 der Verordnung (EU) 2017/625 sowie nach Artikel 43 Absatz 1 der Verordnung (EU) 2018/848 des Europäischen Parlaments und des Rates vom 30. Mai 2018 über die ökologische/biologische Produktion und die Kennzeichnung von ökologischen/biologischen Erzeugnissen sowie zur Aufhebung der Verordnung (EG) Nr. 834/2007 des Rates (ABl. L 150 vom 14.6.2018, S. 1; L 270 vom 29.10.2018, S. 37; L 305 vom 26.11.2019, S. 59; L 37 vom 10.2.2020, S. 26; L 324 vom 6.10.2020, S. 65; L 7 vom 11.1.2021, S. 53; L 204 vom 10.6.2021, S. 47; L 318 vom 9.9.2021, S. 5) in der jeweils geltenden Fassung über festgestellte Verstöße oder den Verdacht auf Verstöße,</w:t>
      </w:r>
    </w:p>
    <w:p>
      <w:pPr>
        <w:ind w:left="780"/>
      </w:pPr>
      <w:r>
        <w:t xml:space="preserve">b) Übermittlung der Informationen und Daten über die ökologische/biologische Produktion und die Kennzeichnung ökologischer/biologischer Erzeugnisse im Jahresbericht zum mehrjährigen nationalen Kontrollplan (MNKP) über das Informationssystem für den ökologischen Landbau (OFIS) nach Artikel 2 Satz 1 und 3 der Verordnung (EU) 2019/723,</w:t>
      </w:r>
    </w:p>
    <w:p>
      <w:pPr>
        <w:ind w:left="780"/>
      </w:pPr>
      <w:r>
        <w:t xml:space="preserve">c) Aktualisierung der Liste der Kontrollstellen und zuständigen Behörden nach Artikel 52 Absatz 1 der Verordnung (EU) 2018/848,</w:t>
      </w:r>
    </w:p>
    <w:p>
      <w:pPr>
        <w:ind w:left="780"/>
      </w:pPr>
      <w:r>
        <w:t xml:space="preserve">d) Übermittlung der jährlichen Meldungen nach Artikel 53 Absatz 6 der Verordnung (EU) 2018/848,</w:t>
      </w:r>
    </w:p>
    <w:p>
      <w:pPr>
        <w:ind w:left="780"/>
      </w:pPr>
      <w:r>
        <w:t xml:space="preserve">e) Meldung der Kriterien für langsam wachsende Geflügelrassen nach Anhang II, Teil 2: 1.9.4.1. Satz 2, 1. Alternative der Verordnung (EU) 2018/848,</w:t>
      </w:r>
    </w:p>
    <w:p>
      <w:pPr>
        <w:ind w:left="780"/>
      </w:pPr>
      <w:r>
        <w:t xml:space="preserve">f) Übermittlung der Informationen nach der auf Grund des Artikel 29 Absatz 8 Buchstabe b der Verordnung (EU) 2018/848 erlassenen Durchführungsverordnung sowie des jährlichen Berichts nach Artikel 29 Absatz 9 der Verordnung (EU) 2018/848 auf Grundlage der von den Kontrollstellen gemäß § 7 Absatz 4 in das dafür bereitgestellte Computersystem eingegebenen und von den zuständigen Landesbehörden freigegebenen fallbezogenen Informationen;</w:t>
      </w:r>
    </w:p>
    <w:p>
      <w:pPr>
        <w:ind w:left="420"/>
      </w:pPr>
      <w:r>
        <w:t xml:space="preserve">3. die Zusammenstellung und Übermittlung von Dossiers zur Änderung der Verzeichnisse zugelassener Erzeugnisse und Stoffe nach Artikel 24 Absatz 7 der Verordnung (EU) 2018/848.</w:t>
      </w:r>
    </w:p>
    <w:p>
      <w:r>
        <w:t xml:space="preserve">(2) Die Unterrichtung der Europäischen Kommission und der anderen Mitgliedstaaten der Europäischen Union nach Artikel 4 Absatz 1 der Verordnung (EU) 2020/2146 über Ausnahmen in Katastrophenfällen obliegt der nach Landesrecht zuständigen Behörde, die die jeweiligen Ausnahmen gewährt hat.</w:t>
      </w:r>
    </w:p>
    <w:p>
      <w:r>
        <w:t xml:space="preserve">(3) Soweit die nach Landesrecht zuständigen Behörden amtliche Untersuchungen nach Artikel 29 Absatz 9 der Verordnung (EU) 2018/848 durchführen und abschließen, geben sie die in § 7 Absatz 4 bezeichneten fallbezogenen Informationen selbst in das dafür bereitgestellte Computersystem ein.</w:t>
      </w:r>
    </w:p>
    <w:p>
      <w:r>
        <w:rPr>
          <w:color w:val="555555"/>
          <w:sz w:val="17"/>
        </w:rPr>
        <w:t xml:space="preserve">Zitiervorschlag: § 2 ÖLG-DV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