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ÖLG-DV — Maßnahmenkatalog</w:t>
      </w:r>
    </w:p>
    <w:p>
      <w:r>
        <w:rPr>
          <w:color w:val="555555"/>
          <w:sz w:val="18"/>
        </w:rPr>
        <w:t xml:space="preserve">Öko-Landbaugesetz-Durchführungsverordnung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Dem Antrag ist eine Verfahrensanweisung beizufügen, die die Anwendung des Maßnahmenkatalogs nach Anlage 3 gegenüber den kontrollierten Unternehmern vorsieht, wenn Verstöße gegen die Vorschriften der Verordnung (EU) 2018/848 oder eines auf der Grundlage der genannten Verordnung erlassenen Rechtsakts der Europäischen Union festgestellt werden.</w:t>
      </w:r>
    </w:p>
    <w:p>
      <w:r>
        <w:rPr>
          <w:color w:val="555555"/>
          <w:sz w:val="17"/>
        </w:rPr>
        <w:t xml:space="preserve">Zitiervorschlag: § 14 ÖLG-DV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https://recht.nulegal.eu/gesetze/%C3%96LG-DV/14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