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ÖLG-DV — Anwendungsbereich</w:t>
      </w:r>
    </w:p>
    <w:p>
      <w:r>
        <w:rPr>
          <w:color w:val="555555"/>
          <w:sz w:val="18"/>
        </w:rPr>
        <w:t xml:space="preserve">Öko-Landbaugesetz-Durchführungsverordnung</w:t>
      </w:r>
    </w:p>
    <w:p>
      <w:r>
        <w:rPr>
          <w:color w:val="555555"/>
          <w:sz w:val="18"/>
        </w:rPr>
        <w:t xml:space="preserve">Stand: 03.08.2023 (konsolidierte Textfassung, kein amtliches Inkrafttretensdatum)</w:t>
      </w:r>
    </w:p>
    <w:p>
      <w:r>
        <w:t xml:space="preserve">Diese Verordnung regelt</w:t>
      </w:r>
    </w:p>
    <w:p>
      <w:pPr>
        <w:ind w:left="420"/>
      </w:pPr>
      <w:r>
        <w:t xml:space="preserve">1. die Aufgaben der Bundesanstalt für Landwirtschaft und Ernährung (Bundesanstalt) und der nach Landesrecht zuständigen Behörden im Verkehr mit den zuständigen Behörden anderer Mitgliedstaaten der Europäischen Union, anderer Vertragsstaaten des Abkommens über den Europäischen Wirtschaftsraum und der Europäischen Kommission im Anwendungsbereich des Öko-Landbaugesetzes,</w:t>
      </w:r>
    </w:p>
    <w:p>
      <w:pPr>
        <w:ind w:left="420"/>
      </w:pPr>
      <w:r>
        <w:t xml:space="preserve">2. die näheren Einzelheiten über die Voraussetzungen und das Verfahren der Zulassung privater Kontrollstellen nach § 4 Absatz 1 bis 4 des Öko-Landbaugesetzes sowie</w:t>
      </w:r>
    </w:p>
    <w:p>
      <w:pPr>
        <w:ind w:left="420"/>
      </w:pPr>
      <w:r>
        <w:t xml:space="preserve">3. für den Fall der Feststellung von Verstößen gegen die Vorschriften über den ökologischen Landbau die zu ergreifenden Maßnahmen.</w:t>
      </w:r>
    </w:p>
    <w:p>
      <w:r>
        <w:rPr>
          <w:color w:val="555555"/>
          <w:sz w:val="17"/>
        </w:rPr>
        <w:t xml:space="preserve">Zitiervorschlag: § 1 ÖLG-DV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https://recht.nulegal.eu/gesetze/%C3%96LG-DV/1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