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ÖDAPrV — Pseudonymisierung der schriftlich zu bearbeitenden Aufgaben und der praktischen Prüfungsleistungen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Für die schriftlich zu bearbeitenden Aufgaben und für die praktischen Prüfungsleistungen wird nach dem Zufallsprinzip für jeden Prüfling eine Kennziffer vergeben.</w:t>
      </w:r>
    </w:p>
    <w:p>
      <w:r>
        <w:t xml:space="preserve">(2) Die Kennziffer muss dem Prüfling vor Beginn der Abschlussprüfung mitgeteilt werden.</w:t>
      </w:r>
    </w:p>
    <w:p>
      <w:r>
        <w:t xml:space="preserve">(3) Der Prüfling muss seine schriftlich zu bearbeitenden Aufgaben und seine praktischen Prüfungsleistungen anstelle seines Namens mit seiner Kennziffer versehen.</w:t>
      </w:r>
    </w:p>
    <w:p>
      <w:r>
        <w:t xml:space="preserve">(4) Bis die endgültige Bewertung der schriftlich zu bearbeitenden Aufgaben und der praktischen Prüfungsleistungen feststeht, ist vor den Prüfenden geheim zu halten, welche Kennziffer an welchen Prüfling vergeben wurde.</w:t>
      </w:r>
    </w:p>
    <w:p>
      <w:r>
        <w:rPr>
          <w:color w:val="555555"/>
          <w:sz w:val="17"/>
        </w:rPr>
        <w:t xml:space="preserve">Zitiervorschlag: § 21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