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ÄndSchnAusbV — Zielsetzung der Berufsausbildung</w:t>
      </w:r>
    </w:p>
    <w:p>
      <w:r>
        <w:rPr>
          <w:color w:val="555555"/>
          <w:sz w:val="18"/>
        </w:rPr>
        <w:t xml:space="preserve">Verordnung über die Berufsausbildung zum Änderungsschneider/zur Änderungsschneiderin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Fertigkeiten, Kenntnisse und Fähigkeiten sollen bezogen auf Arbeits- und Geschäftsprozesse vermittelt werden. Sie sollen so vermittelt werden, dass die Auszubildenden zur Ausübung einer qualifizierten beruflichen Tätigkeit im Sinne von § 1 Abs. 3 des Berufsbildungsgesetzes befähigt werden, die insbesondere selbstständiges Planen, Durchführen und Kontrollieren sowie das Handeln im betrieblichen Gesamtzusammenhang einschließt. Die in Satz 2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ÄndSchnAusbV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https://recht.nulegal.eu/gesetze/%C3%84ndSchnAusbV/3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