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ÄApprO 2002 — Schriftliche Prüfung</w:t>
      </w:r>
    </w:p>
    <w:p>
      <w:r>
        <w:rPr>
          <w:color w:val="555555"/>
          <w:sz w:val="18"/>
        </w:rPr>
        <w:t xml:space="preserve">Approbationsordnung für Ärzte</w:t>
      </w:r>
    </w:p>
    <w:p>
      <w:r>
        <w:rPr>
          <w:color w:val="555555"/>
          <w:sz w:val="18"/>
        </w:rPr>
        <w:t xml:space="preserve">Stand: 14.10.2021 (konsolidierte Textfassung, kein amtliches Inkrafttretensdatum)</w:t>
      </w:r>
    </w:p>
    <w:p>
      <w:r>
        <w:t xml:space="preserve">(1) Die schriftliche Prüfung erstreckt sich auf die Kenntnisse und Fähigkeiten der Studierenden, derer ein Arzt zur eigenverantwortlichen und selbstständigen Tätigkeit bedarf. Die Prüfung wird fallbezogen, insbesondere durch Fallstudien, gestaltet. Prüfungsgegenstand sind insbesondere</w:t>
      </w:r>
    </w:p>
    <w:p>
      <w:pPr>
        <w:ind w:left="420"/>
      </w:pPr>
      <w:r>
        <w:t xml:space="preserve">- die berufspraktischen Anforderungen an den Arzt,</w:t>
      </w:r>
    </w:p>
    <w:p>
      <w:pPr>
        <w:ind w:left="420"/>
      </w:pPr>
      <w:r>
        <w:t xml:space="preserve">- die wichtigsten Krankheitsbilder,</w:t>
      </w:r>
    </w:p>
    <w:p>
      <w:pPr>
        <w:ind w:left="420"/>
      </w:pPr>
      <w:r>
        <w:t xml:space="preserve">- fächerübergreifende und</w:t>
      </w:r>
    </w:p>
    <w:p>
      <w:pPr>
        <w:ind w:left="420"/>
      </w:pPr>
      <w:r>
        <w:t xml:space="preserve">- problemorientierte Fragestellungen.</w:t>
      </w:r>
    </w:p>
    <w:p>
      <w:r>
        <w:t xml:space="preserve">(2) Die Prüfung soll an drei aufeinanderfolgenden Tagen stattfinden. Sie dauert an allen drei Tagen jeweils fünf Stunden.</w:t>
      </w:r>
    </w:p>
    <w:p>
      <w:r>
        <w:t xml:space="preserve">(3) Die Anzahl der in der Aufsichtsarbeit im Antwort-Wahl-Verfahren zu bearbeitenden Fragen beträgt 320. Die Aufgaben müssen auf die in Absatz 1 festgelegten Anforderungen und auf den in der Anlage 15 zu dieser Verordnung festgelegten Prüfungsstoff abgestellt sein.</w:t>
      </w:r>
    </w:p>
    <w:p>
      <w:r>
        <w:rPr>
          <w:color w:val="555555"/>
          <w:sz w:val="17"/>
        </w:rPr>
        <w:t xml:space="preserve">Zitiervorschlag: § 28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